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C9260A" w:rsidRDefault="008C02D5" w:rsidP="003F537D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TENDER NOTIFICATION NO. 0</w:t>
      </w:r>
      <w:r w:rsidR="007310DA">
        <w:rPr>
          <w:rFonts w:ascii="Arial" w:hAnsi="Arial" w:cs="Arial"/>
          <w:b/>
          <w:u w:val="single"/>
        </w:rPr>
        <w:t>1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477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69"/>
        <w:gridCol w:w="1339"/>
        <w:gridCol w:w="3729"/>
        <w:gridCol w:w="1201"/>
        <w:gridCol w:w="1067"/>
        <w:gridCol w:w="1871"/>
      </w:tblGrid>
      <w:tr w:rsidR="009433A8" w:rsidTr="009433A8">
        <w:tc>
          <w:tcPr>
            <w:tcW w:w="339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678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888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08" w:type="pct"/>
          </w:tcPr>
          <w:p w:rsidR="003F537D" w:rsidRPr="00292C9F" w:rsidRDefault="003F537D" w:rsidP="00CC7D2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</w:t>
            </w:r>
          </w:p>
        </w:tc>
        <w:tc>
          <w:tcPr>
            <w:tcW w:w="540" w:type="pct"/>
          </w:tcPr>
          <w:p w:rsidR="003F537D" w:rsidRPr="000A50AF" w:rsidRDefault="00FB245F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Tender cost</w:t>
            </w:r>
          </w:p>
        </w:tc>
        <w:tc>
          <w:tcPr>
            <w:tcW w:w="947" w:type="pct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9433A8" w:rsidTr="009433A8">
        <w:trPr>
          <w:trHeight w:val="2156"/>
        </w:trPr>
        <w:tc>
          <w:tcPr>
            <w:tcW w:w="339" w:type="pct"/>
            <w:vAlign w:val="center"/>
          </w:tcPr>
          <w:p w:rsidR="003F537D" w:rsidRDefault="003F537D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8" w:type="pct"/>
            <w:vAlign w:val="center"/>
          </w:tcPr>
          <w:p w:rsidR="003F537D" w:rsidRPr="00BB7C51" w:rsidRDefault="009047D5" w:rsidP="007310D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SE/OP/RJNR/0</w:t>
            </w:r>
            <w:r w:rsidR="007310DA">
              <w:rPr>
                <w:rFonts w:ascii="Arial" w:hAnsi="Arial" w:cs="Arial"/>
              </w:rPr>
              <w:t>1</w:t>
            </w:r>
            <w:r w:rsidR="003F537D">
              <w:rPr>
                <w:rFonts w:ascii="Arial" w:hAnsi="Arial" w:cs="Arial"/>
              </w:rPr>
              <w:t>/2</w:t>
            </w:r>
            <w:r w:rsidR="007310DA">
              <w:rPr>
                <w:rFonts w:ascii="Arial" w:hAnsi="Arial" w:cs="Arial"/>
              </w:rPr>
              <w:t>4</w:t>
            </w:r>
            <w:r w:rsidR="003F537D">
              <w:rPr>
                <w:rFonts w:ascii="Arial" w:hAnsi="Arial" w:cs="Arial"/>
              </w:rPr>
              <w:t>-2</w:t>
            </w:r>
            <w:r w:rsidR="007310DA">
              <w:rPr>
                <w:rFonts w:ascii="Arial" w:hAnsi="Arial" w:cs="Arial"/>
              </w:rPr>
              <w:t>5</w:t>
            </w:r>
            <w:r w:rsidR="003F537D">
              <w:rPr>
                <w:rFonts w:ascii="Arial" w:hAnsi="Arial" w:cs="Arial"/>
              </w:rPr>
              <w:t xml:space="preserve"> </w:t>
            </w:r>
            <w:r w:rsidR="001E6B20">
              <w:rPr>
                <w:rFonts w:ascii="Arial" w:hAnsi="Arial" w:cs="Arial"/>
              </w:rPr>
              <w:t>(</w:t>
            </w:r>
            <w:r w:rsidR="007310DA">
              <w:rPr>
                <w:rFonts w:ascii="Arial" w:hAnsi="Arial" w:cs="Arial"/>
              </w:rPr>
              <w:t>SC</w:t>
            </w:r>
            <w:r w:rsidR="001E6B20">
              <w:rPr>
                <w:rFonts w:ascii="Arial" w:hAnsi="Arial" w:cs="Arial"/>
              </w:rPr>
              <w:t>)</w:t>
            </w:r>
          </w:p>
        </w:tc>
        <w:tc>
          <w:tcPr>
            <w:tcW w:w="1888" w:type="pct"/>
            <w:vAlign w:val="center"/>
          </w:tcPr>
          <w:p w:rsidR="009047D5" w:rsidRPr="002E41CC" w:rsidRDefault="002E41CC" w:rsidP="002E41CC">
            <w:pPr>
              <w:pStyle w:val="NoSpacing"/>
              <w:jc w:val="both"/>
              <w:rPr>
                <w:rFonts w:ascii="Arial" w:hAnsi="Arial" w:cs="Arial"/>
              </w:rPr>
            </w:pPr>
            <w:r w:rsidRPr="002E41CC">
              <w:rPr>
                <w:rFonts w:ascii="Arial" w:hAnsi="Arial" w:cs="Arial"/>
              </w:rPr>
              <w:t xml:space="preserve">Erection of additional 1No. 5MVA PTR to the </w:t>
            </w:r>
            <w:proofErr w:type="spellStart"/>
            <w:r w:rsidRPr="002E41CC">
              <w:rPr>
                <w:rFonts w:ascii="Arial" w:hAnsi="Arial" w:cs="Arial"/>
              </w:rPr>
              <w:t>exsiting</w:t>
            </w:r>
            <w:proofErr w:type="spellEnd"/>
            <w:r w:rsidRPr="002E41CC">
              <w:rPr>
                <w:rFonts w:ascii="Arial" w:hAnsi="Arial" w:cs="Arial"/>
              </w:rPr>
              <w:t xml:space="preserve"> 5MVA PTR thus making a capacity of total 2X5MVA at 33/11KV </w:t>
            </w:r>
            <w:proofErr w:type="spellStart"/>
            <w:r w:rsidRPr="002E41CC">
              <w:rPr>
                <w:rFonts w:ascii="Arial" w:hAnsi="Arial" w:cs="Arial"/>
              </w:rPr>
              <w:t>Agiryala</w:t>
            </w:r>
            <w:proofErr w:type="spellEnd"/>
            <w:r w:rsidRPr="002E41CC">
              <w:rPr>
                <w:rFonts w:ascii="Arial" w:hAnsi="Arial" w:cs="Arial"/>
              </w:rPr>
              <w:t xml:space="preserve"> SS in  </w:t>
            </w:r>
            <w:proofErr w:type="spellStart"/>
            <w:r w:rsidRPr="002E41CC">
              <w:rPr>
                <w:rFonts w:ascii="Arial" w:hAnsi="Arial" w:cs="Arial"/>
              </w:rPr>
              <w:t>Kondurg</w:t>
            </w:r>
            <w:proofErr w:type="spellEnd"/>
            <w:r w:rsidRPr="002E41CC">
              <w:rPr>
                <w:rFonts w:ascii="Arial" w:hAnsi="Arial" w:cs="Arial"/>
              </w:rPr>
              <w:t xml:space="preserve"> Section of Shadnagar Sub-division of Shadnagar Division of Rajendranagar Circle u</w:t>
            </w:r>
            <w:r w:rsidR="00FB245F">
              <w:rPr>
                <w:rFonts w:ascii="Arial" w:hAnsi="Arial" w:cs="Arial"/>
              </w:rPr>
              <w:t>nder T&amp;D PTR Augmentation Works</w:t>
            </w:r>
          </w:p>
          <w:p w:rsidR="008C02D5" w:rsidRPr="008C02D5" w:rsidRDefault="008C02D5" w:rsidP="008C02D5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8" w:type="pct"/>
            <w:vAlign w:val="center"/>
          </w:tcPr>
          <w:p w:rsidR="003F537D" w:rsidRPr="000A50AF" w:rsidRDefault="001B7B36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1,76,647</w:t>
            </w:r>
            <w:r w:rsidR="00F3746E">
              <w:rPr>
                <w:rFonts w:ascii="Arial" w:hAnsi="Arial" w:cs="Arial"/>
              </w:rPr>
              <w:t>/-</w:t>
            </w:r>
          </w:p>
        </w:tc>
        <w:tc>
          <w:tcPr>
            <w:tcW w:w="540" w:type="pct"/>
            <w:vAlign w:val="center"/>
          </w:tcPr>
          <w:p w:rsidR="003F537D" w:rsidRPr="000A50AF" w:rsidRDefault="00FB245F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</w:t>
            </w:r>
            <w:r w:rsidR="001B7B36">
              <w:rPr>
                <w:rFonts w:ascii="Arial" w:hAnsi="Arial" w:cs="Arial"/>
              </w:rPr>
              <w:t>/-</w:t>
            </w:r>
          </w:p>
        </w:tc>
        <w:tc>
          <w:tcPr>
            <w:tcW w:w="947" w:type="pct"/>
            <w:vAlign w:val="center"/>
          </w:tcPr>
          <w:p w:rsidR="002843DB" w:rsidRPr="000A50AF" w:rsidRDefault="002843DB" w:rsidP="007310D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DE/OP</w:t>
            </w:r>
            <w:r w:rsidR="007310DA">
              <w:rPr>
                <w:rFonts w:ascii="Arial" w:hAnsi="Arial" w:cs="Arial"/>
              </w:rPr>
              <w:t>/Shad</w:t>
            </w:r>
            <w:r>
              <w:rPr>
                <w:rFonts w:ascii="Arial" w:hAnsi="Arial" w:cs="Arial"/>
              </w:rPr>
              <w:t>nagar</w:t>
            </w:r>
          </w:p>
        </w:tc>
      </w:tr>
      <w:tr w:rsidR="009433A8" w:rsidTr="009433A8">
        <w:trPr>
          <w:trHeight w:val="1412"/>
        </w:trPr>
        <w:tc>
          <w:tcPr>
            <w:tcW w:w="339" w:type="pct"/>
            <w:vAlign w:val="center"/>
          </w:tcPr>
          <w:p w:rsidR="00C27783" w:rsidRDefault="00C27783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8" w:type="pct"/>
            <w:vAlign w:val="center"/>
          </w:tcPr>
          <w:p w:rsidR="00C27783" w:rsidRDefault="007310DA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SE/OP/RJNR/01/24-25 (SC)</w:t>
            </w:r>
          </w:p>
        </w:tc>
        <w:tc>
          <w:tcPr>
            <w:tcW w:w="1888" w:type="pct"/>
            <w:vAlign w:val="center"/>
          </w:tcPr>
          <w:p w:rsidR="00C27783" w:rsidRDefault="001B7B36" w:rsidP="00FB245F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1B7B36">
              <w:rPr>
                <w:rFonts w:ascii="Arial" w:hAnsi="Arial" w:cs="Arial"/>
              </w:rPr>
              <w:t xml:space="preserve">rection of additional 1No. 8MVA PTR to the existing 2X12.5 MVA PTR thus making a total capacity of 2X12.5+1X8MVA at 33/11KV Indira Gandhi Housing Society Sub-station in Gaganpahad Section of Gaganpahad Sub-division of Rajendranagar Division of Rajendranagar Circle and the work executed by the Construction wing of Rajendranagar Circle under T&amp;D PTR Augmentation Works </w:t>
            </w:r>
          </w:p>
        </w:tc>
        <w:tc>
          <w:tcPr>
            <w:tcW w:w="608" w:type="pct"/>
            <w:vAlign w:val="center"/>
          </w:tcPr>
          <w:p w:rsidR="00C27783" w:rsidRDefault="001B7B36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7,06,946</w:t>
            </w:r>
            <w:r w:rsidR="00F3746E">
              <w:rPr>
                <w:rFonts w:ascii="Arial" w:hAnsi="Arial" w:cs="Arial"/>
              </w:rPr>
              <w:t>/-</w:t>
            </w:r>
          </w:p>
        </w:tc>
        <w:tc>
          <w:tcPr>
            <w:tcW w:w="540" w:type="pct"/>
            <w:vAlign w:val="center"/>
          </w:tcPr>
          <w:p w:rsidR="00C27783" w:rsidRDefault="00FB245F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</w:t>
            </w:r>
            <w:r w:rsidR="001B7B36">
              <w:rPr>
                <w:rFonts w:ascii="Arial" w:hAnsi="Arial" w:cs="Arial"/>
              </w:rPr>
              <w:t>/-</w:t>
            </w:r>
          </w:p>
        </w:tc>
        <w:tc>
          <w:tcPr>
            <w:tcW w:w="947" w:type="pct"/>
            <w:vAlign w:val="center"/>
          </w:tcPr>
          <w:p w:rsidR="00C27783" w:rsidRDefault="00C27783" w:rsidP="00C2778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DE/Const/Rajendranagar</w:t>
            </w:r>
          </w:p>
        </w:tc>
      </w:tr>
      <w:tr w:rsidR="009433A8" w:rsidTr="009433A8">
        <w:trPr>
          <w:trHeight w:val="960"/>
        </w:trPr>
        <w:tc>
          <w:tcPr>
            <w:tcW w:w="339" w:type="pct"/>
            <w:vMerge w:val="restart"/>
            <w:vAlign w:val="center"/>
          </w:tcPr>
          <w:p w:rsidR="00AB6118" w:rsidRDefault="00AB6118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8" w:type="pct"/>
            <w:vMerge w:val="restart"/>
            <w:vAlign w:val="center"/>
          </w:tcPr>
          <w:p w:rsidR="00AB6118" w:rsidRDefault="00AB6118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SE/OP/RJNR/01/24-25 (General)</w:t>
            </w:r>
          </w:p>
        </w:tc>
        <w:tc>
          <w:tcPr>
            <w:tcW w:w="1888" w:type="pct"/>
            <w:vAlign w:val="center"/>
          </w:tcPr>
          <w:p w:rsidR="00AB6118" w:rsidRPr="00C27783" w:rsidRDefault="00AB6118" w:rsidP="008F0607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01.Tender for Procurement of Stationary items-I</w:t>
            </w:r>
          </w:p>
        </w:tc>
        <w:tc>
          <w:tcPr>
            <w:tcW w:w="608" w:type="pct"/>
            <w:vAlign w:val="center"/>
          </w:tcPr>
          <w:p w:rsidR="00AB6118" w:rsidRDefault="00AB6118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B1CB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</w:t>
            </w:r>
            <w:r w:rsidR="006B1CB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800/-</w:t>
            </w:r>
          </w:p>
        </w:tc>
        <w:tc>
          <w:tcPr>
            <w:tcW w:w="540" w:type="pct"/>
            <w:vAlign w:val="center"/>
          </w:tcPr>
          <w:p w:rsidR="00AB6118" w:rsidRDefault="00AB6118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1180/-</w:t>
            </w:r>
          </w:p>
        </w:tc>
        <w:tc>
          <w:tcPr>
            <w:tcW w:w="947" w:type="pct"/>
            <w:vMerge w:val="restart"/>
            <w:vAlign w:val="center"/>
          </w:tcPr>
          <w:p w:rsidR="00AB6118" w:rsidRDefault="00AB6118" w:rsidP="00C2778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SE/Operation/Rajendranagar</w:t>
            </w:r>
          </w:p>
        </w:tc>
      </w:tr>
      <w:tr w:rsidR="009433A8" w:rsidTr="009433A8">
        <w:trPr>
          <w:trHeight w:val="960"/>
        </w:trPr>
        <w:tc>
          <w:tcPr>
            <w:tcW w:w="339" w:type="pct"/>
            <w:vMerge/>
            <w:vAlign w:val="center"/>
          </w:tcPr>
          <w:p w:rsidR="00AB6118" w:rsidRDefault="00AB6118" w:rsidP="00511B7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78" w:type="pct"/>
            <w:vMerge/>
            <w:vAlign w:val="center"/>
          </w:tcPr>
          <w:p w:rsidR="00AB6118" w:rsidRDefault="00AB6118" w:rsidP="00110AA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88" w:type="pct"/>
            <w:vAlign w:val="center"/>
          </w:tcPr>
          <w:p w:rsidR="00AB6118" w:rsidRDefault="00AB6118" w:rsidP="00AB611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02.Tender for Procurement of Stationary items-II</w:t>
            </w:r>
          </w:p>
        </w:tc>
        <w:tc>
          <w:tcPr>
            <w:tcW w:w="608" w:type="pct"/>
            <w:vAlign w:val="center"/>
          </w:tcPr>
          <w:p w:rsidR="00AB6118" w:rsidRDefault="00AB6118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B1CB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</w:t>
            </w:r>
            <w:r w:rsidR="006B1CB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800/-</w:t>
            </w:r>
          </w:p>
        </w:tc>
        <w:tc>
          <w:tcPr>
            <w:tcW w:w="540" w:type="pct"/>
            <w:vAlign w:val="center"/>
          </w:tcPr>
          <w:p w:rsidR="00AB6118" w:rsidRDefault="00AB6118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1180/-</w:t>
            </w:r>
          </w:p>
        </w:tc>
        <w:tc>
          <w:tcPr>
            <w:tcW w:w="947" w:type="pct"/>
            <w:vMerge/>
            <w:vAlign w:val="center"/>
          </w:tcPr>
          <w:p w:rsidR="00AB6118" w:rsidRDefault="00AB6118" w:rsidP="00C2778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433A8" w:rsidTr="009433A8">
        <w:trPr>
          <w:trHeight w:val="960"/>
        </w:trPr>
        <w:tc>
          <w:tcPr>
            <w:tcW w:w="339" w:type="pct"/>
            <w:vMerge/>
            <w:vAlign w:val="center"/>
          </w:tcPr>
          <w:p w:rsidR="00AB6118" w:rsidRDefault="00AB6118" w:rsidP="00511B7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78" w:type="pct"/>
            <w:vMerge/>
            <w:vAlign w:val="center"/>
          </w:tcPr>
          <w:p w:rsidR="00AB6118" w:rsidRDefault="00AB6118" w:rsidP="00110AA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88" w:type="pct"/>
            <w:vAlign w:val="center"/>
          </w:tcPr>
          <w:p w:rsidR="00AB6118" w:rsidRDefault="00AB6118" w:rsidP="008F0607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03.Tender for Procurement of Computer and  items</w:t>
            </w:r>
          </w:p>
        </w:tc>
        <w:tc>
          <w:tcPr>
            <w:tcW w:w="608" w:type="pct"/>
            <w:vAlign w:val="center"/>
          </w:tcPr>
          <w:p w:rsidR="00AB6118" w:rsidRDefault="00AB6118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B1CB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</w:t>
            </w:r>
            <w:r w:rsidR="006B1CB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800/-</w:t>
            </w:r>
          </w:p>
        </w:tc>
        <w:tc>
          <w:tcPr>
            <w:tcW w:w="540" w:type="pct"/>
            <w:vAlign w:val="center"/>
          </w:tcPr>
          <w:p w:rsidR="00AB6118" w:rsidRDefault="00AB6118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1180/-</w:t>
            </w:r>
          </w:p>
        </w:tc>
        <w:tc>
          <w:tcPr>
            <w:tcW w:w="947" w:type="pct"/>
            <w:vMerge/>
            <w:vAlign w:val="center"/>
          </w:tcPr>
          <w:p w:rsidR="00AB6118" w:rsidRDefault="00AB6118" w:rsidP="00C2778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433A8" w:rsidTr="009433A8">
        <w:trPr>
          <w:trHeight w:val="1289"/>
        </w:trPr>
        <w:tc>
          <w:tcPr>
            <w:tcW w:w="339" w:type="pct"/>
            <w:vAlign w:val="center"/>
          </w:tcPr>
          <w:p w:rsidR="00FB245F" w:rsidRDefault="00FB245F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8" w:type="pct"/>
            <w:vAlign w:val="center"/>
          </w:tcPr>
          <w:p w:rsidR="00FB245F" w:rsidRDefault="00FB245F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SE/OP/RJNR/01/24-25 (General)</w:t>
            </w:r>
          </w:p>
        </w:tc>
        <w:tc>
          <w:tcPr>
            <w:tcW w:w="1888" w:type="pct"/>
            <w:vAlign w:val="center"/>
          </w:tcPr>
          <w:p w:rsidR="00FB245F" w:rsidRDefault="00FB245F" w:rsidP="00FB245F">
            <w:pPr>
              <w:pStyle w:val="NoSpacing"/>
              <w:jc w:val="both"/>
              <w:rPr>
                <w:rFonts w:ascii="Arial" w:hAnsi="Arial" w:cs="Arial"/>
              </w:rPr>
            </w:pPr>
            <w:r w:rsidRPr="00FB245F">
              <w:rPr>
                <w:rFonts w:ascii="Arial" w:hAnsi="Arial" w:cs="Arial"/>
              </w:rPr>
              <w:t xml:space="preserve">Estimate is for bifurcation of 11 kV </w:t>
            </w:r>
            <w:proofErr w:type="spellStart"/>
            <w:r w:rsidRPr="00FB245F">
              <w:rPr>
                <w:rFonts w:ascii="Arial" w:hAnsi="Arial" w:cs="Arial"/>
              </w:rPr>
              <w:t>Kollapadkal</w:t>
            </w:r>
            <w:proofErr w:type="spellEnd"/>
            <w:r w:rsidRPr="00FB245F">
              <w:rPr>
                <w:rFonts w:ascii="Arial" w:hAnsi="Arial" w:cs="Arial"/>
              </w:rPr>
              <w:t xml:space="preserve"> 24Hrs Feeder emanating</w:t>
            </w:r>
            <w:r>
              <w:rPr>
                <w:rFonts w:ascii="Arial" w:hAnsi="Arial" w:cs="Arial"/>
              </w:rPr>
              <w:t xml:space="preserve"> </w:t>
            </w:r>
            <w:r w:rsidRPr="00FB245F">
              <w:rPr>
                <w:rFonts w:ascii="Arial" w:hAnsi="Arial" w:cs="Arial"/>
              </w:rPr>
              <w:t xml:space="preserve">33/11KV </w:t>
            </w:r>
            <w:proofErr w:type="spellStart"/>
            <w:r w:rsidRPr="00FB245F">
              <w:rPr>
                <w:rFonts w:ascii="Arial" w:hAnsi="Arial" w:cs="Arial"/>
              </w:rPr>
              <w:t>Kollapadkal</w:t>
            </w:r>
            <w:proofErr w:type="spellEnd"/>
            <w:r w:rsidRPr="00FB245F">
              <w:rPr>
                <w:rFonts w:ascii="Arial" w:hAnsi="Arial" w:cs="Arial"/>
              </w:rPr>
              <w:t xml:space="preserve"> SS</w:t>
            </w:r>
          </w:p>
        </w:tc>
        <w:tc>
          <w:tcPr>
            <w:tcW w:w="608" w:type="pct"/>
            <w:vAlign w:val="center"/>
          </w:tcPr>
          <w:p w:rsidR="00FB245F" w:rsidRDefault="00FB245F" w:rsidP="00110AAB">
            <w:pPr>
              <w:pStyle w:val="NoSpacing"/>
              <w:jc w:val="center"/>
              <w:rPr>
                <w:rFonts w:ascii="Arial" w:hAnsi="Arial" w:cs="Arial"/>
              </w:rPr>
            </w:pPr>
            <w:r w:rsidRPr="00FB245F">
              <w:rPr>
                <w:rFonts w:ascii="Arial" w:hAnsi="Arial" w:cs="Arial"/>
              </w:rPr>
              <w:t>1</w:t>
            </w:r>
            <w:r w:rsidR="006B1CB9">
              <w:rPr>
                <w:rFonts w:ascii="Arial" w:hAnsi="Arial" w:cs="Arial"/>
              </w:rPr>
              <w:t>,</w:t>
            </w:r>
            <w:r w:rsidRPr="00FB245F">
              <w:rPr>
                <w:rFonts w:ascii="Arial" w:hAnsi="Arial" w:cs="Arial"/>
              </w:rPr>
              <w:t>34,815</w:t>
            </w:r>
          </w:p>
        </w:tc>
        <w:tc>
          <w:tcPr>
            <w:tcW w:w="540" w:type="pct"/>
            <w:vAlign w:val="center"/>
          </w:tcPr>
          <w:p w:rsidR="00FB245F" w:rsidRDefault="00FB245F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590/-</w:t>
            </w:r>
          </w:p>
        </w:tc>
        <w:tc>
          <w:tcPr>
            <w:tcW w:w="947" w:type="pct"/>
            <w:vAlign w:val="center"/>
          </w:tcPr>
          <w:p w:rsidR="00FB245F" w:rsidRDefault="00FB245F" w:rsidP="00C2778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DE/Op/Kandukur</w:t>
            </w:r>
          </w:p>
        </w:tc>
      </w:tr>
      <w:tr w:rsidR="009433A8" w:rsidTr="009433A8">
        <w:trPr>
          <w:trHeight w:val="1011"/>
        </w:trPr>
        <w:tc>
          <w:tcPr>
            <w:tcW w:w="339" w:type="pct"/>
            <w:vAlign w:val="center"/>
          </w:tcPr>
          <w:p w:rsidR="00FB245F" w:rsidRDefault="00FB245F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8" w:type="pct"/>
            <w:vAlign w:val="center"/>
          </w:tcPr>
          <w:p w:rsidR="00FB245F" w:rsidRDefault="00FB245F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SE/OP/RJNR/01/24-25 (General)</w:t>
            </w:r>
          </w:p>
        </w:tc>
        <w:tc>
          <w:tcPr>
            <w:tcW w:w="1888" w:type="pct"/>
            <w:vAlign w:val="center"/>
          </w:tcPr>
          <w:p w:rsidR="00FB245F" w:rsidRDefault="00DC1124" w:rsidP="00FB24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1124">
              <w:rPr>
                <w:rFonts w:ascii="Arial" w:hAnsi="Arial" w:cs="Arial"/>
              </w:rPr>
              <w:t>Estimate  for erection of 1KM  interlinking  line  in  between 11KV Shiv ganga</w:t>
            </w:r>
          </w:p>
        </w:tc>
        <w:tc>
          <w:tcPr>
            <w:tcW w:w="608" w:type="pct"/>
            <w:vAlign w:val="center"/>
          </w:tcPr>
          <w:p w:rsidR="00FB245F" w:rsidRDefault="00FB245F" w:rsidP="00110AAB">
            <w:pPr>
              <w:pStyle w:val="NoSpacing"/>
              <w:jc w:val="center"/>
              <w:rPr>
                <w:rFonts w:ascii="Arial" w:hAnsi="Arial" w:cs="Arial"/>
              </w:rPr>
            </w:pPr>
            <w:r w:rsidRPr="00FB245F">
              <w:rPr>
                <w:rFonts w:ascii="Arial" w:hAnsi="Arial" w:cs="Arial"/>
              </w:rPr>
              <w:t>1</w:t>
            </w:r>
            <w:r w:rsidR="006705DD">
              <w:rPr>
                <w:rFonts w:ascii="Arial" w:hAnsi="Arial" w:cs="Arial"/>
              </w:rPr>
              <w:t>,</w:t>
            </w:r>
            <w:r w:rsidRPr="00FB245F">
              <w:rPr>
                <w:rFonts w:ascii="Arial" w:hAnsi="Arial" w:cs="Arial"/>
              </w:rPr>
              <w:t>52,113</w:t>
            </w:r>
          </w:p>
        </w:tc>
        <w:tc>
          <w:tcPr>
            <w:tcW w:w="540" w:type="pct"/>
            <w:vAlign w:val="center"/>
          </w:tcPr>
          <w:p w:rsidR="00FB245F" w:rsidRDefault="00FB245F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590/-</w:t>
            </w:r>
          </w:p>
        </w:tc>
        <w:tc>
          <w:tcPr>
            <w:tcW w:w="947" w:type="pct"/>
            <w:vAlign w:val="center"/>
          </w:tcPr>
          <w:p w:rsidR="00FB245F" w:rsidRDefault="00FB245F" w:rsidP="00FB245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DE/Op/Kandukur</w:t>
            </w:r>
          </w:p>
        </w:tc>
      </w:tr>
      <w:tr w:rsidR="009433A8" w:rsidTr="009433A8">
        <w:trPr>
          <w:trHeight w:val="1011"/>
        </w:trPr>
        <w:tc>
          <w:tcPr>
            <w:tcW w:w="339" w:type="pct"/>
            <w:vAlign w:val="center"/>
          </w:tcPr>
          <w:p w:rsidR="00383798" w:rsidRDefault="00383798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8" w:type="pct"/>
            <w:vAlign w:val="center"/>
          </w:tcPr>
          <w:p w:rsidR="00383798" w:rsidRDefault="00383798" w:rsidP="0038379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SE/OP/RJNR/01/24-25 (SC)</w:t>
            </w:r>
          </w:p>
        </w:tc>
        <w:tc>
          <w:tcPr>
            <w:tcW w:w="1888" w:type="pct"/>
            <w:vAlign w:val="center"/>
          </w:tcPr>
          <w:p w:rsidR="006B1CB9" w:rsidRPr="006B1CB9" w:rsidRDefault="006B1CB9" w:rsidP="006B1C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1CB9">
              <w:rPr>
                <w:rFonts w:ascii="Arial" w:hAnsi="Arial" w:cs="Arial"/>
              </w:rPr>
              <w:t>Extension of to 1No 16 KW General Purpose load to Cat-VII</w:t>
            </w:r>
            <w:r>
              <w:rPr>
                <w:rFonts w:ascii="Arial" w:hAnsi="Arial" w:cs="Arial"/>
              </w:rPr>
              <w:t xml:space="preserve"> </w:t>
            </w:r>
            <w:r w:rsidRPr="006B1CB9">
              <w:rPr>
                <w:rFonts w:ascii="Arial" w:hAnsi="Arial" w:cs="Arial"/>
              </w:rPr>
              <w:t>(School Purpose)</w:t>
            </w:r>
            <w:r>
              <w:rPr>
                <w:rFonts w:ascii="Arial" w:hAnsi="Arial" w:cs="Arial"/>
              </w:rPr>
              <w:t xml:space="preserve"> </w:t>
            </w:r>
            <w:r w:rsidRPr="006B1CB9">
              <w:rPr>
                <w:rFonts w:ascii="Arial" w:hAnsi="Arial" w:cs="Arial"/>
              </w:rPr>
              <w:t xml:space="preserve">with 01No 25KVA DTR </w:t>
            </w:r>
            <w:proofErr w:type="spellStart"/>
            <w:r w:rsidRPr="006B1CB9">
              <w:rPr>
                <w:rFonts w:ascii="Arial" w:hAnsi="Arial" w:cs="Arial"/>
              </w:rPr>
              <w:t>Kasthurba</w:t>
            </w:r>
            <w:proofErr w:type="spellEnd"/>
            <w:r w:rsidRPr="006B1CB9">
              <w:rPr>
                <w:rFonts w:ascii="Arial" w:hAnsi="Arial" w:cs="Arial"/>
              </w:rPr>
              <w:t xml:space="preserve"> </w:t>
            </w:r>
            <w:proofErr w:type="spellStart"/>
            <w:r w:rsidRPr="006B1CB9">
              <w:rPr>
                <w:rFonts w:ascii="Arial" w:hAnsi="Arial" w:cs="Arial"/>
              </w:rPr>
              <w:t>Gandi</w:t>
            </w:r>
            <w:proofErr w:type="spellEnd"/>
            <w:r w:rsidRPr="006B1CB9">
              <w:rPr>
                <w:rFonts w:ascii="Arial" w:hAnsi="Arial" w:cs="Arial"/>
              </w:rPr>
              <w:t xml:space="preserve"> KGVB School at </w:t>
            </w:r>
            <w:proofErr w:type="spellStart"/>
            <w:r w:rsidRPr="006B1CB9">
              <w:rPr>
                <w:rFonts w:ascii="Arial" w:hAnsi="Arial" w:cs="Arial"/>
              </w:rPr>
              <w:t>Sy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B1CB9">
              <w:rPr>
                <w:rFonts w:ascii="Arial" w:hAnsi="Arial" w:cs="Arial"/>
              </w:rPr>
              <w:t xml:space="preserve">No140 in </w:t>
            </w:r>
            <w:proofErr w:type="spellStart"/>
            <w:r w:rsidRPr="006B1CB9">
              <w:rPr>
                <w:rFonts w:ascii="Arial" w:hAnsi="Arial" w:cs="Arial"/>
              </w:rPr>
              <w:t>kadthal</w:t>
            </w:r>
            <w:proofErr w:type="spellEnd"/>
            <w:r w:rsidRPr="006B1CB9">
              <w:rPr>
                <w:rFonts w:ascii="Arial" w:hAnsi="Arial" w:cs="Arial"/>
              </w:rPr>
              <w:t xml:space="preserve"> Vg of </w:t>
            </w:r>
            <w:proofErr w:type="spellStart"/>
            <w:r w:rsidRPr="006B1CB9">
              <w:rPr>
                <w:rFonts w:ascii="Arial" w:hAnsi="Arial" w:cs="Arial"/>
              </w:rPr>
              <w:t>Kadthal</w:t>
            </w:r>
            <w:proofErr w:type="spellEnd"/>
            <w:r w:rsidRPr="006B1CB9">
              <w:rPr>
                <w:rFonts w:ascii="Arial" w:hAnsi="Arial" w:cs="Arial"/>
              </w:rPr>
              <w:t xml:space="preserve"> section of </w:t>
            </w:r>
            <w:proofErr w:type="spellStart"/>
            <w:r w:rsidRPr="006B1CB9">
              <w:rPr>
                <w:rFonts w:ascii="Arial" w:hAnsi="Arial" w:cs="Arial"/>
              </w:rPr>
              <w:t>Amangal</w:t>
            </w:r>
            <w:proofErr w:type="spellEnd"/>
            <w:r w:rsidRPr="006B1CB9">
              <w:rPr>
                <w:rFonts w:ascii="Arial" w:hAnsi="Arial" w:cs="Arial"/>
              </w:rPr>
              <w:t xml:space="preserve"> Sub Division in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B1CB9">
              <w:rPr>
                <w:rFonts w:ascii="Arial" w:hAnsi="Arial" w:cs="Arial"/>
              </w:rPr>
              <w:t>Kandukur</w:t>
            </w:r>
            <w:proofErr w:type="spellEnd"/>
            <w:r w:rsidRPr="006B1CB9">
              <w:rPr>
                <w:rFonts w:ascii="Arial" w:hAnsi="Arial" w:cs="Arial"/>
              </w:rPr>
              <w:t xml:space="preserve"> Division in </w:t>
            </w:r>
            <w:proofErr w:type="spellStart"/>
            <w:r w:rsidRPr="006B1CB9">
              <w:rPr>
                <w:rFonts w:ascii="Arial" w:hAnsi="Arial" w:cs="Arial"/>
              </w:rPr>
              <w:t>rajendranagar</w:t>
            </w:r>
            <w:proofErr w:type="spellEnd"/>
            <w:r w:rsidRPr="006B1CB9">
              <w:rPr>
                <w:rFonts w:ascii="Arial" w:hAnsi="Arial" w:cs="Arial"/>
              </w:rPr>
              <w:t xml:space="preserve"> Circle under capital works</w:t>
            </w:r>
          </w:p>
          <w:p w:rsidR="00383798" w:rsidRPr="00FB245F" w:rsidRDefault="00383798" w:rsidP="00FB24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08" w:type="pct"/>
            <w:vAlign w:val="center"/>
          </w:tcPr>
          <w:p w:rsidR="00383798" w:rsidRPr="00FB245F" w:rsidRDefault="006B1CB9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1,68,413</w:t>
            </w:r>
          </w:p>
        </w:tc>
        <w:tc>
          <w:tcPr>
            <w:tcW w:w="540" w:type="pct"/>
            <w:vAlign w:val="center"/>
          </w:tcPr>
          <w:p w:rsidR="00383798" w:rsidRDefault="006B1CB9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590/-</w:t>
            </w:r>
          </w:p>
        </w:tc>
        <w:tc>
          <w:tcPr>
            <w:tcW w:w="947" w:type="pct"/>
            <w:vAlign w:val="center"/>
          </w:tcPr>
          <w:p w:rsidR="00383798" w:rsidRDefault="006B1CB9" w:rsidP="00FB245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DE/Op/Kandukur</w:t>
            </w:r>
          </w:p>
        </w:tc>
      </w:tr>
    </w:tbl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AB6118" w:rsidTr="006B1CB9">
        <w:trPr>
          <w:trHeight w:val="637"/>
        </w:trPr>
        <w:tc>
          <w:tcPr>
            <w:tcW w:w="10276" w:type="dxa"/>
          </w:tcPr>
          <w:p w:rsidR="00AB6118" w:rsidRDefault="00AB6118" w:rsidP="00AE3CC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Pr="0079091E">
              <w:rPr>
                <w:rFonts w:ascii="Arial" w:hAnsi="Arial" w:cs="Arial"/>
              </w:rPr>
              <w:t>(</w:t>
            </w:r>
            <w:r w:rsidRPr="0065411C">
              <w:rPr>
                <w:rFonts w:ascii="Arial" w:hAnsi="Arial" w:cs="Arial"/>
              </w:rPr>
              <w:t xml:space="preserve">Sales from </w:t>
            </w:r>
            <w:r>
              <w:rPr>
                <w:rFonts w:ascii="Arial" w:hAnsi="Arial" w:cs="Arial"/>
              </w:rPr>
              <w:t>15</w:t>
            </w:r>
            <w:r w:rsidRPr="0065411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06</w:t>
            </w:r>
            <w:r w:rsidRPr="0065411C">
              <w:rPr>
                <w:rFonts w:ascii="Arial" w:hAnsi="Arial" w:cs="Arial"/>
              </w:rPr>
              <w:t xml:space="preserve">.2024 to </w:t>
            </w:r>
            <w:r w:rsidR="00AE3CCD">
              <w:rPr>
                <w:rFonts w:ascii="Arial" w:hAnsi="Arial" w:cs="Arial"/>
              </w:rPr>
              <w:t>21.06</w:t>
            </w:r>
            <w:r w:rsidRPr="0065411C">
              <w:rPr>
                <w:rFonts w:ascii="Arial" w:hAnsi="Arial" w:cs="Arial"/>
              </w:rPr>
              <w:t xml:space="preserve">.2024 and last date of submission is </w:t>
            </w:r>
            <w:r>
              <w:rPr>
                <w:rFonts w:ascii="Arial" w:hAnsi="Arial" w:cs="Arial"/>
              </w:rPr>
              <w:t>22.06</w:t>
            </w:r>
            <w:r w:rsidRPr="0065411C">
              <w:rPr>
                <w:rFonts w:ascii="Arial" w:hAnsi="Arial" w:cs="Arial"/>
              </w:rPr>
              <w:t xml:space="preserve">.2024 </w:t>
            </w:r>
            <w:proofErr w:type="spellStart"/>
            <w:r w:rsidRPr="0065411C">
              <w:rPr>
                <w:rFonts w:ascii="Arial" w:hAnsi="Arial" w:cs="Arial"/>
              </w:rPr>
              <w:t>upto</w:t>
            </w:r>
            <w:proofErr w:type="spellEnd"/>
            <w:r w:rsidRPr="006541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15</w:t>
            </w:r>
            <w:r w:rsidRPr="0065411C">
              <w:rPr>
                <w:rFonts w:ascii="Arial" w:hAnsi="Arial" w:cs="Arial"/>
              </w:rPr>
              <w:t xml:space="preserve">:00 </w:t>
            </w:r>
            <w:proofErr w:type="spellStart"/>
            <w:r w:rsidRPr="0065411C">
              <w:rPr>
                <w:rFonts w:ascii="Arial" w:hAnsi="Arial" w:cs="Arial"/>
              </w:rPr>
              <w:t>hrs</w:t>
            </w:r>
            <w:proofErr w:type="spellEnd"/>
            <w:r w:rsidRPr="0065411C">
              <w:rPr>
                <w:rFonts w:ascii="Arial" w:hAnsi="Arial" w:cs="Arial"/>
              </w:rPr>
              <w:t xml:space="preserve"> and Opening on </w:t>
            </w:r>
            <w:r>
              <w:rPr>
                <w:rFonts w:ascii="Arial" w:hAnsi="Arial" w:cs="Arial"/>
              </w:rPr>
              <w:t>22</w:t>
            </w:r>
            <w:r w:rsidRPr="0065411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06</w:t>
            </w:r>
            <w:r w:rsidRPr="0065411C">
              <w:rPr>
                <w:rFonts w:ascii="Arial" w:hAnsi="Arial" w:cs="Arial"/>
              </w:rPr>
              <w:t xml:space="preserve">.2024 at </w:t>
            </w:r>
            <w:r>
              <w:rPr>
                <w:rFonts w:ascii="Arial" w:hAnsi="Arial" w:cs="Arial"/>
              </w:rPr>
              <w:t>16</w:t>
            </w:r>
            <w:r w:rsidRPr="0065411C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6B1CB9">
        <w:trPr>
          <w:trHeight w:val="595"/>
        </w:trPr>
        <w:tc>
          <w:tcPr>
            <w:tcW w:w="10276" w:type="dxa"/>
          </w:tcPr>
          <w:p w:rsidR="00AB6118" w:rsidRDefault="00AB6118" w:rsidP="00AB611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6B1CB9">
        <w:trPr>
          <w:trHeight w:val="489"/>
        </w:trPr>
        <w:tc>
          <w:tcPr>
            <w:tcW w:w="10276" w:type="dxa"/>
          </w:tcPr>
          <w:p w:rsidR="00AB6118" w:rsidRDefault="00AB6118" w:rsidP="00AB611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9047D5" w:rsidRDefault="009047D5" w:rsidP="003F537D">
      <w:pPr>
        <w:pStyle w:val="NoSpacing"/>
        <w:jc w:val="both"/>
        <w:rPr>
          <w:rFonts w:ascii="Arial" w:hAnsi="Arial" w:cs="Arial"/>
        </w:rPr>
      </w:pPr>
    </w:p>
    <w:p w:rsidR="009047D5" w:rsidRDefault="009047D5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SD/-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6A565E" w:rsidRDefault="006A565E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AB6118" w:rsidRDefault="003F537D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7B1715" w:rsidRPr="00AF5352" w:rsidRDefault="007B1715" w:rsidP="00711165">
      <w:pPr>
        <w:pStyle w:val="NoSpacing"/>
        <w:rPr>
          <w:rFonts w:ascii="Arial" w:hAnsi="Arial" w:cs="Arial"/>
        </w:rPr>
      </w:pPr>
    </w:p>
    <w:sectPr w:rsidR="007B1715" w:rsidRPr="00AF5352" w:rsidSect="00DC11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GUID" w:val="c3b8ed04-3c37-4982-9383-13aa7ed2b678"/>
  </w:docVars>
  <w:rsids>
    <w:rsidRoot w:val="00AF5352"/>
    <w:rsid w:val="00003C07"/>
    <w:rsid w:val="0000753A"/>
    <w:rsid w:val="00021C4A"/>
    <w:rsid w:val="00026441"/>
    <w:rsid w:val="00055ED7"/>
    <w:rsid w:val="00057C69"/>
    <w:rsid w:val="00097EAF"/>
    <w:rsid w:val="000A50AF"/>
    <w:rsid w:val="000F53AA"/>
    <w:rsid w:val="000F6473"/>
    <w:rsid w:val="00110AAB"/>
    <w:rsid w:val="001128CF"/>
    <w:rsid w:val="0011389E"/>
    <w:rsid w:val="00146605"/>
    <w:rsid w:val="0017360E"/>
    <w:rsid w:val="00177079"/>
    <w:rsid w:val="001B254B"/>
    <w:rsid w:val="001B7B36"/>
    <w:rsid w:val="001C79CF"/>
    <w:rsid w:val="001E12FF"/>
    <w:rsid w:val="001E2739"/>
    <w:rsid w:val="001E4D93"/>
    <w:rsid w:val="001E6B20"/>
    <w:rsid w:val="001F1728"/>
    <w:rsid w:val="002006D7"/>
    <w:rsid w:val="002747F1"/>
    <w:rsid w:val="00275A84"/>
    <w:rsid w:val="002843DB"/>
    <w:rsid w:val="00292C9F"/>
    <w:rsid w:val="00293787"/>
    <w:rsid w:val="002A055C"/>
    <w:rsid w:val="002A71CB"/>
    <w:rsid w:val="002E41CC"/>
    <w:rsid w:val="00326EAD"/>
    <w:rsid w:val="00350892"/>
    <w:rsid w:val="00360523"/>
    <w:rsid w:val="00383798"/>
    <w:rsid w:val="003A3C0B"/>
    <w:rsid w:val="003E1039"/>
    <w:rsid w:val="003F537D"/>
    <w:rsid w:val="00436508"/>
    <w:rsid w:val="004770A2"/>
    <w:rsid w:val="00480DA5"/>
    <w:rsid w:val="004814AD"/>
    <w:rsid w:val="00495135"/>
    <w:rsid w:val="004B509C"/>
    <w:rsid w:val="004D0AE9"/>
    <w:rsid w:val="004E4954"/>
    <w:rsid w:val="005055D5"/>
    <w:rsid w:val="00510B91"/>
    <w:rsid w:val="005230AD"/>
    <w:rsid w:val="00556404"/>
    <w:rsid w:val="0056252E"/>
    <w:rsid w:val="00597AEE"/>
    <w:rsid w:val="005B514C"/>
    <w:rsid w:val="005B6220"/>
    <w:rsid w:val="005C64E3"/>
    <w:rsid w:val="005E38A9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D0A9F"/>
    <w:rsid w:val="006E1ED9"/>
    <w:rsid w:val="006E77C4"/>
    <w:rsid w:val="006F022E"/>
    <w:rsid w:val="006F63AD"/>
    <w:rsid w:val="0070626F"/>
    <w:rsid w:val="00711165"/>
    <w:rsid w:val="007149CD"/>
    <w:rsid w:val="00725F30"/>
    <w:rsid w:val="007310DA"/>
    <w:rsid w:val="007346D6"/>
    <w:rsid w:val="00744814"/>
    <w:rsid w:val="00745232"/>
    <w:rsid w:val="0079091E"/>
    <w:rsid w:val="007A44EF"/>
    <w:rsid w:val="007A72DF"/>
    <w:rsid w:val="007B0ED0"/>
    <w:rsid w:val="007B1715"/>
    <w:rsid w:val="007D275A"/>
    <w:rsid w:val="007D6B31"/>
    <w:rsid w:val="007F0884"/>
    <w:rsid w:val="0081002B"/>
    <w:rsid w:val="008219EE"/>
    <w:rsid w:val="00842CC6"/>
    <w:rsid w:val="008570D0"/>
    <w:rsid w:val="008C02D5"/>
    <w:rsid w:val="008D4DD8"/>
    <w:rsid w:val="008E577D"/>
    <w:rsid w:val="008F0159"/>
    <w:rsid w:val="008F0607"/>
    <w:rsid w:val="009047D5"/>
    <w:rsid w:val="00910E7A"/>
    <w:rsid w:val="00917618"/>
    <w:rsid w:val="00934544"/>
    <w:rsid w:val="00934EF7"/>
    <w:rsid w:val="009433A8"/>
    <w:rsid w:val="009634B6"/>
    <w:rsid w:val="00987C6E"/>
    <w:rsid w:val="009A3318"/>
    <w:rsid w:val="009A6FCA"/>
    <w:rsid w:val="009E0693"/>
    <w:rsid w:val="009F0151"/>
    <w:rsid w:val="00A1643B"/>
    <w:rsid w:val="00A52941"/>
    <w:rsid w:val="00A90C7D"/>
    <w:rsid w:val="00AA7755"/>
    <w:rsid w:val="00AB16BA"/>
    <w:rsid w:val="00AB3D28"/>
    <w:rsid w:val="00AB54E9"/>
    <w:rsid w:val="00AB6118"/>
    <w:rsid w:val="00AC6A0B"/>
    <w:rsid w:val="00AE3CCD"/>
    <w:rsid w:val="00AE4B9E"/>
    <w:rsid w:val="00AF5352"/>
    <w:rsid w:val="00B0057F"/>
    <w:rsid w:val="00B15107"/>
    <w:rsid w:val="00B15ED7"/>
    <w:rsid w:val="00B1730C"/>
    <w:rsid w:val="00B40620"/>
    <w:rsid w:val="00B4470A"/>
    <w:rsid w:val="00B453C8"/>
    <w:rsid w:val="00B4677C"/>
    <w:rsid w:val="00B54DFF"/>
    <w:rsid w:val="00B71D2D"/>
    <w:rsid w:val="00B9567A"/>
    <w:rsid w:val="00B97C86"/>
    <w:rsid w:val="00BB7C51"/>
    <w:rsid w:val="00BC45CF"/>
    <w:rsid w:val="00BE2EA3"/>
    <w:rsid w:val="00BF64A0"/>
    <w:rsid w:val="00C01EE7"/>
    <w:rsid w:val="00C02288"/>
    <w:rsid w:val="00C14F32"/>
    <w:rsid w:val="00C27783"/>
    <w:rsid w:val="00C30896"/>
    <w:rsid w:val="00C368A3"/>
    <w:rsid w:val="00C6245F"/>
    <w:rsid w:val="00C64311"/>
    <w:rsid w:val="00C740A3"/>
    <w:rsid w:val="00C87B98"/>
    <w:rsid w:val="00C9260A"/>
    <w:rsid w:val="00CA2087"/>
    <w:rsid w:val="00CC7D24"/>
    <w:rsid w:val="00CC7E4B"/>
    <w:rsid w:val="00CD5555"/>
    <w:rsid w:val="00CF162B"/>
    <w:rsid w:val="00CF339C"/>
    <w:rsid w:val="00D124A5"/>
    <w:rsid w:val="00D319B9"/>
    <w:rsid w:val="00D34C66"/>
    <w:rsid w:val="00D43FCB"/>
    <w:rsid w:val="00D5416C"/>
    <w:rsid w:val="00DB3AC5"/>
    <w:rsid w:val="00DB642D"/>
    <w:rsid w:val="00DC1124"/>
    <w:rsid w:val="00DF04EC"/>
    <w:rsid w:val="00DF09BB"/>
    <w:rsid w:val="00E2048A"/>
    <w:rsid w:val="00E30717"/>
    <w:rsid w:val="00E35587"/>
    <w:rsid w:val="00E62ADD"/>
    <w:rsid w:val="00E715C0"/>
    <w:rsid w:val="00E8261D"/>
    <w:rsid w:val="00EA3DCD"/>
    <w:rsid w:val="00EB0198"/>
    <w:rsid w:val="00EB607C"/>
    <w:rsid w:val="00EC5B45"/>
    <w:rsid w:val="00EE5FA8"/>
    <w:rsid w:val="00F3746E"/>
    <w:rsid w:val="00F41EB7"/>
    <w:rsid w:val="00FA67DF"/>
    <w:rsid w:val="00FB245F"/>
    <w:rsid w:val="00FD748D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A470"/>
  <w15:docId w15:val="{51F22203-09F0-4F75-8989-0B75774E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2241-944C-4FB4-8136-EFAA9CBC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2024-06-13T00:01:00Z</cp:lastPrinted>
  <dcterms:created xsi:type="dcterms:W3CDTF">2024-06-13T00:24:00Z</dcterms:created>
  <dcterms:modified xsi:type="dcterms:W3CDTF">2024-06-13T00:24:00Z</dcterms:modified>
</cp:coreProperties>
</file>