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D3" w:rsidRPr="00C9260A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02/25-26</w:t>
      </w: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5385" w:type="pct"/>
        <w:tblLook w:val="04A0"/>
      </w:tblPr>
      <w:tblGrid>
        <w:gridCol w:w="1301"/>
        <w:gridCol w:w="1307"/>
        <w:gridCol w:w="4018"/>
        <w:gridCol w:w="995"/>
        <w:gridCol w:w="1419"/>
        <w:gridCol w:w="1273"/>
      </w:tblGrid>
      <w:tr w:rsidR="009A1AD3" w:rsidRPr="009A1AD3" w:rsidTr="009A1AD3">
        <w:trPr>
          <w:trHeight w:val="645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15"/>
            <w:r w:rsidRPr="009A1AD3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1AD3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1AD3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1AD3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1A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1AD3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9A1AD3" w:rsidRPr="009A1AD3" w:rsidTr="009A1AD3">
        <w:trPr>
          <w:trHeight w:val="2070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 xml:space="preserve">Bifurcation of 11KV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Chintaguda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AGL feeder emanating from</w:t>
            </w:r>
            <w:r w:rsidRPr="009A1AD3">
              <w:rPr>
                <w:rFonts w:ascii="Calibri" w:eastAsia="Times New Roman" w:hAnsi="Calibri" w:cs="Calibri"/>
                <w:color w:val="000000"/>
              </w:rPr>
              <w:br/>
              <w:t xml:space="preserve">33/11KV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Burgula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sub-station by erection of new 11KV feeder from same sub-station which involves stringing of 3.5KM 11KV SCOH line with 55 sq.mm AAA conductor over now proposed 9.1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Mtrs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PSCC poles along with 11KV bay extension and erection of new 11KV VCB at 33/11KV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Burgula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sub-station in Shadnagar rural section of Shadnagar Sub-Division of Shadnagar Division in Rajendranagar Circle - (36)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5,39,614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10792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T-2428-70-02-11-02-003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AD3" w:rsidRPr="009A1AD3" w:rsidTr="009A1AD3">
        <w:trPr>
          <w:trHeight w:val="1800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 xml:space="preserve"> bifurcation of 33KV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Kondurg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Feeder emanating from 132KV Sri</w:t>
            </w:r>
            <w:r w:rsidRPr="009A1AD3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Rangapur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EHT SS with erection of new 33KV Feeder from the same EHT SS which involves stringing of 8KM 33KV 100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Sqmm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. AAAC (6KM SCOH + 2KM DCOH) over existing M+6 Towers, now proposed RS Joist box poles from the EHT SS to 33/11KV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Kondurg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SS in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Kondurg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Section of Shadnagar Sub-division in Shadnagar Division  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9,21,182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18423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T-2430-70-02-11-03-001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AD3" w:rsidRPr="009A1AD3" w:rsidTr="009A1AD3">
        <w:trPr>
          <w:trHeight w:val="1200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 xml:space="preserve">extension of LT Cat-VI Water supply at 11KV to M/s. GENERAL MANAGER HMWSSB for a 75 HP General purpose load at 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Ghouse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Nagar Water Tank,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Bandlaguda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in Pahadishareef section , Mamidipally Sub division in Kandukur Division 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2,87,392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5747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E-2024-70-03-12-01-080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AD3" w:rsidRPr="009A1AD3" w:rsidTr="009A1AD3">
        <w:trPr>
          <w:trHeight w:val="900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 xml:space="preserve">providing of LT poles at various locations in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in Operation section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of Mamidipally Sub Division in Kandukur Division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1,12,703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Y-2024-70-03-12-04-006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AD3" w:rsidRPr="009A1AD3" w:rsidTr="009A1AD3">
        <w:trPr>
          <w:trHeight w:val="1545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AD3">
              <w:rPr>
                <w:rFonts w:ascii="Calibri" w:eastAsia="Times New Roman" w:hAnsi="Calibri" w:cs="Calibri"/>
                <w:color w:val="000000"/>
              </w:rPr>
              <w:t>erection</w:t>
            </w:r>
            <w:proofErr w:type="gram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of 1No. 25 KVA DTR for releasing 5No.s 5HP</w:t>
            </w:r>
            <w:r w:rsidRPr="009A1AD3">
              <w:rPr>
                <w:rFonts w:ascii="Calibri" w:eastAsia="Times New Roman" w:hAnsi="Calibri" w:cs="Calibri"/>
                <w:color w:val="000000"/>
              </w:rPr>
              <w:br/>
              <w:t xml:space="preserve">load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Agl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. services to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Kanusali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Anjaiah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at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Pulimamidi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Vlg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>) in Kandukur</w:t>
            </w:r>
            <w:r w:rsidRPr="009A1AD3">
              <w:rPr>
                <w:rFonts w:ascii="Calibri" w:eastAsia="Times New Roman" w:hAnsi="Calibri" w:cs="Calibri"/>
                <w:color w:val="000000"/>
              </w:rPr>
              <w:br/>
              <w:t>Section of Mamidipally Sub-Division in  Kandukur Division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1,92,393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3847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A-0688-70-03-12-02-133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AD3" w:rsidRPr="009A1AD3" w:rsidTr="009A1AD3">
        <w:trPr>
          <w:trHeight w:val="1500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conversion of LT Category-2 with 05 KW (5203 03351) to HT</w:t>
            </w:r>
            <w:r w:rsidRPr="009A1AD3">
              <w:rPr>
                <w:rFonts w:ascii="Calibri" w:eastAsia="Times New Roman" w:hAnsi="Calibri" w:cs="Calibri"/>
                <w:color w:val="000000"/>
              </w:rPr>
              <w:br/>
              <w:t xml:space="preserve">Cat-2 supply at 11 KV for a CMD of 300KVA with CL of 350KW to Forest Manager, Urban Forestry, ECO Park at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Kothwalguda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, Rajendranagar in </w:t>
            </w:r>
            <w:r w:rsidRPr="009A1AD3">
              <w:rPr>
                <w:rFonts w:ascii="Calibri" w:eastAsia="Times New Roman" w:hAnsi="Calibri" w:cs="Calibri"/>
                <w:color w:val="000000"/>
              </w:rPr>
              <w:lastRenderedPageBreak/>
              <w:t>Rajendranagar Section in Rajendranagar Sub division in Rajendranagar Division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lastRenderedPageBreak/>
              <w:t>2,52,043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5040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E-2024-70-01-11-01-127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AD3" w:rsidRPr="009A1AD3" w:rsidTr="009A1AD3">
        <w:trPr>
          <w:trHeight w:val="1500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1A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9A1AD3">
              <w:rPr>
                <w:rFonts w:ascii="Calibri" w:eastAsia="Times New Roman" w:hAnsi="Calibri" w:cs="Calibri"/>
                <w:color w:val="000000"/>
              </w:rPr>
              <w:br/>
              <w:t xml:space="preserve">1X8MVA PTR thus making total capacity of 1X8+1X5 MVA PTRs at 33/11KV </w:t>
            </w:r>
            <w:proofErr w:type="spellStart"/>
            <w:r w:rsidRPr="009A1AD3">
              <w:rPr>
                <w:rFonts w:ascii="Calibri" w:eastAsia="Times New Roman" w:hAnsi="Calibri" w:cs="Calibri"/>
                <w:color w:val="000000"/>
              </w:rPr>
              <w:t>Chatanpally</w:t>
            </w:r>
            <w:proofErr w:type="spellEnd"/>
            <w:r w:rsidRPr="009A1AD3">
              <w:rPr>
                <w:rFonts w:ascii="Calibri" w:eastAsia="Times New Roman" w:hAnsi="Calibri" w:cs="Calibri"/>
                <w:color w:val="000000"/>
              </w:rPr>
              <w:t xml:space="preserve"> Sub-Station in Shadnagar Rural Section of Shadnagar Sub Division of Shadnagar Division of Rajendranagar Circle under T&lt;(&gt;&amp;&lt;)&gt;D PTR Augmentation works (Summer action plan-2025 works).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2,19,209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4384</w:t>
            </w:r>
          </w:p>
        </w:tc>
      </w:tr>
      <w:tr w:rsidR="009A1AD3" w:rsidRPr="009A1AD3" w:rsidTr="009A1AD3">
        <w:trPr>
          <w:trHeight w:val="300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AD3">
              <w:rPr>
                <w:rFonts w:ascii="Calibri" w:eastAsia="Times New Roman" w:hAnsi="Calibri" w:cs="Calibri"/>
                <w:color w:val="000000"/>
              </w:rPr>
              <w:t>T-2421-70-02-11-02-001</w:t>
            </w: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9A1AD3" w:rsidRDefault="009A1AD3" w:rsidP="009A1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9A1AD3" w:rsidTr="00BB235D">
        <w:trPr>
          <w:trHeight w:val="637"/>
        </w:trPr>
        <w:tc>
          <w:tcPr>
            <w:tcW w:w="10980" w:type="dxa"/>
          </w:tcPr>
          <w:p w:rsidR="009A1AD3" w:rsidRDefault="009A1AD3" w:rsidP="009A1AD3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>
              <w:rPr>
                <w:rFonts w:ascii="Arial" w:hAnsi="Arial" w:cs="Arial"/>
              </w:rPr>
              <w:t>03.06.2025</w:t>
            </w:r>
            <w:r w:rsidRPr="00215D0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11.06.2025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>
              <w:rPr>
                <w:rFonts w:ascii="Arial" w:hAnsi="Arial" w:cs="Arial"/>
              </w:rPr>
              <w:t xml:space="preserve">12.06.2025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>
              <w:rPr>
                <w:rFonts w:ascii="Arial" w:hAnsi="Arial" w:cs="Arial"/>
              </w:rPr>
              <w:t xml:space="preserve">12.06.2025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9A1AD3" w:rsidTr="00BB235D">
        <w:trPr>
          <w:trHeight w:val="478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A1AD3" w:rsidTr="00BB235D">
        <w:trPr>
          <w:trHeight w:val="257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Pr="008F0159" w:rsidRDefault="009A1AD3" w:rsidP="009A1AD3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9A1AD3" w:rsidRDefault="009A1AD3" w:rsidP="009A1A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40</cp:revision>
  <cp:lastPrinted>2025-05-29T05:07:00Z</cp:lastPrinted>
  <dcterms:created xsi:type="dcterms:W3CDTF">2025-01-08T07:47:00Z</dcterms:created>
  <dcterms:modified xsi:type="dcterms:W3CDTF">2025-05-31T07:04:00Z</dcterms:modified>
</cp:coreProperties>
</file>